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D128BD" w14:textId="6BC8537F" w:rsidR="001B2BC5" w:rsidRPr="005A28B0" w:rsidRDefault="001B2BC5" w:rsidP="005A28B0">
      <w:pPr>
        <w:spacing w:before="120" w:after="0" w:line="240" w:lineRule="auto"/>
        <w:jc w:val="center"/>
        <w:rPr>
          <w:rFonts w:ascii="Times New Roman" w:hAnsi="Times New Roman"/>
          <w:b/>
          <w:bCs/>
          <w:color w:val="000000"/>
          <w:spacing w:val="-2"/>
          <w:sz w:val="28"/>
          <w:szCs w:val="28"/>
          <w:u w:val="single"/>
        </w:rPr>
      </w:pPr>
      <w:r w:rsidRPr="005A28B0">
        <w:rPr>
          <w:rFonts w:ascii="Times New Roman" w:hAnsi="Times New Roman"/>
          <w:b/>
          <w:bCs/>
          <w:color w:val="000000"/>
          <w:spacing w:val="-2"/>
          <w:sz w:val="28"/>
          <w:szCs w:val="28"/>
          <w:u w:val="single"/>
        </w:rPr>
        <w:t xml:space="preserve">PHỤC LỤC </w:t>
      </w:r>
    </w:p>
    <w:p w14:paraId="2E255F09" w14:textId="72E51D9D" w:rsidR="00B116C9" w:rsidRPr="005A28B0" w:rsidRDefault="00B116C9" w:rsidP="005A28B0">
      <w:pPr>
        <w:spacing w:before="120" w:after="0" w:line="240" w:lineRule="auto"/>
        <w:jc w:val="center"/>
        <w:rPr>
          <w:rFonts w:ascii="Times New Roman Bold" w:hAnsi="Times New Roman Bold"/>
          <w:b/>
          <w:bCs/>
          <w:color w:val="000000"/>
          <w:spacing w:val="-6"/>
          <w:sz w:val="28"/>
          <w:szCs w:val="28"/>
        </w:rPr>
      </w:pPr>
      <w:r w:rsidRPr="005A28B0">
        <w:rPr>
          <w:rFonts w:ascii="Times New Roman Bold" w:hAnsi="Times New Roman Bold"/>
          <w:b/>
          <w:bCs/>
          <w:color w:val="000000"/>
          <w:spacing w:val="-6"/>
          <w:sz w:val="28"/>
          <w:szCs w:val="28"/>
        </w:rPr>
        <w:t>DANH MỤC VĂN BẢN QUY PHẠM PHÁP LUẬT VỀ CHI PHÍ TỐ TỤNG</w:t>
      </w:r>
    </w:p>
    <w:p w14:paraId="6A9D05C2" w14:textId="77777777" w:rsidR="005A28B0" w:rsidRDefault="005A28B0" w:rsidP="00B116C9">
      <w:pPr>
        <w:spacing w:before="120" w:after="0" w:line="240" w:lineRule="auto"/>
        <w:ind w:firstLine="709"/>
        <w:jc w:val="both"/>
        <w:rPr>
          <w:rFonts w:ascii="Times New Roman" w:hAnsi="Times New Roman"/>
          <w:b/>
          <w:bCs/>
          <w:color w:val="000000"/>
          <w:spacing w:val="-2"/>
          <w:sz w:val="28"/>
          <w:szCs w:val="28"/>
        </w:rPr>
      </w:pPr>
    </w:p>
    <w:p w14:paraId="5C29B176" w14:textId="26B029B0" w:rsidR="001B2BC5" w:rsidRPr="00B116C9" w:rsidRDefault="00B116C9" w:rsidP="003004D9">
      <w:pPr>
        <w:spacing w:before="120" w:after="0" w:line="240" w:lineRule="auto"/>
        <w:ind w:firstLine="709"/>
        <w:jc w:val="both"/>
        <w:rPr>
          <w:rFonts w:ascii="Times New Roman" w:hAnsi="Times New Roman"/>
          <w:b/>
          <w:bCs/>
          <w:color w:val="000000"/>
          <w:spacing w:val="-2"/>
          <w:sz w:val="28"/>
          <w:szCs w:val="28"/>
        </w:rPr>
      </w:pPr>
      <w:r w:rsidRPr="00B116C9">
        <w:rPr>
          <w:rFonts w:ascii="Times New Roman" w:hAnsi="Times New Roman"/>
          <w:b/>
          <w:bCs/>
          <w:color w:val="000000"/>
          <w:spacing w:val="-2"/>
          <w:sz w:val="28"/>
          <w:szCs w:val="28"/>
        </w:rPr>
        <w:t>I.</w:t>
      </w:r>
      <w:r w:rsidR="007409A0">
        <w:rPr>
          <w:rFonts w:ascii="Times New Roman" w:hAnsi="Times New Roman"/>
          <w:b/>
          <w:bCs/>
          <w:color w:val="000000"/>
          <w:spacing w:val="-2"/>
          <w:sz w:val="28"/>
          <w:szCs w:val="28"/>
        </w:rPr>
        <w:t xml:space="preserve"> </w:t>
      </w:r>
      <w:r w:rsidR="006A6C66">
        <w:rPr>
          <w:rFonts w:ascii="Times New Roman" w:hAnsi="Times New Roman"/>
          <w:b/>
          <w:bCs/>
          <w:color w:val="000000"/>
          <w:spacing w:val="-2"/>
          <w:sz w:val="28"/>
          <w:szCs w:val="28"/>
        </w:rPr>
        <w:t>L</w:t>
      </w:r>
      <w:r w:rsidR="00AA09B0">
        <w:rPr>
          <w:rFonts w:ascii="Times New Roman" w:hAnsi="Times New Roman"/>
          <w:b/>
          <w:bCs/>
          <w:color w:val="000000"/>
          <w:spacing w:val="-2"/>
          <w:sz w:val="28"/>
          <w:szCs w:val="28"/>
        </w:rPr>
        <w:t>uật, Pháp lệnh và văn bản quy định chi tiết, hướng dẫn thi hành Luật, Pháp lệnh trước năm 2015</w:t>
      </w:r>
    </w:p>
    <w:p w14:paraId="64A3952F" w14:textId="7F381D81" w:rsidR="007A19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color w:val="000000"/>
          <w:spacing w:val="-2"/>
          <w:sz w:val="28"/>
          <w:szCs w:val="28"/>
        </w:rPr>
      </w:pPr>
      <w:r w:rsidRPr="00DD77B6">
        <w:rPr>
          <w:rFonts w:ascii="Times New Roman" w:hAnsi="Times New Roman"/>
          <w:color w:val="000000"/>
          <w:spacing w:val="-2"/>
          <w:sz w:val="28"/>
          <w:szCs w:val="28"/>
        </w:rPr>
        <w:t>Bộ luật Tố tụng hình sự năm 2003</w:t>
      </w:r>
      <w:r w:rsidR="006A0022">
        <w:rPr>
          <w:rFonts w:ascii="Times New Roman" w:hAnsi="Times New Roman"/>
          <w:color w:val="000000"/>
          <w:spacing w:val="-2"/>
          <w:sz w:val="28"/>
          <w:szCs w:val="28"/>
        </w:rPr>
        <w:t>.</w:t>
      </w:r>
    </w:p>
    <w:p w14:paraId="3C846B12" w14:textId="77777777" w:rsidR="007A19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color w:val="000000"/>
          <w:spacing w:val="-2"/>
          <w:sz w:val="28"/>
          <w:szCs w:val="28"/>
        </w:rPr>
      </w:pPr>
      <w:r w:rsidRPr="00DD77B6">
        <w:rPr>
          <w:rFonts w:ascii="Times New Roman" w:hAnsi="Times New Roman"/>
          <w:color w:val="000000"/>
          <w:spacing w:val="-2"/>
          <w:sz w:val="28"/>
          <w:szCs w:val="28"/>
        </w:rPr>
        <w:t>Bộ luật Tố tụng dân sự năm 2004 sửa đổi, bổ sung năm 2011</w:t>
      </w:r>
      <w:r w:rsidR="007A1976">
        <w:rPr>
          <w:rFonts w:ascii="Times New Roman" w:hAnsi="Times New Roman"/>
          <w:color w:val="000000"/>
          <w:spacing w:val="-2"/>
          <w:sz w:val="28"/>
          <w:szCs w:val="28"/>
        </w:rPr>
        <w:t>.</w:t>
      </w:r>
    </w:p>
    <w:p w14:paraId="619F5165" w14:textId="77777777" w:rsidR="007A19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color w:val="000000"/>
          <w:spacing w:val="-2"/>
          <w:sz w:val="28"/>
          <w:szCs w:val="28"/>
        </w:rPr>
      </w:pPr>
      <w:r w:rsidRPr="00DD77B6">
        <w:rPr>
          <w:rFonts w:ascii="Times New Roman" w:hAnsi="Times New Roman"/>
          <w:color w:val="000000"/>
          <w:spacing w:val="-2"/>
          <w:sz w:val="28"/>
          <w:szCs w:val="28"/>
        </w:rPr>
        <w:t>Luật Tố tụng hành chính năm 2010</w:t>
      </w:r>
      <w:r w:rsidR="007A1976">
        <w:rPr>
          <w:rFonts w:ascii="Times New Roman" w:hAnsi="Times New Roman"/>
          <w:color w:val="000000"/>
          <w:spacing w:val="-2"/>
          <w:sz w:val="28"/>
          <w:szCs w:val="28"/>
        </w:rPr>
        <w:t>.</w:t>
      </w:r>
    </w:p>
    <w:p w14:paraId="71BA2F54" w14:textId="77777777" w:rsidR="007A1976" w:rsidRPr="007A1976" w:rsidRDefault="007A1976"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color w:val="000000"/>
          <w:spacing w:val="-2"/>
          <w:sz w:val="28"/>
          <w:szCs w:val="28"/>
        </w:rPr>
      </w:pPr>
      <w:r>
        <w:rPr>
          <w:rFonts w:ascii="Times New Roman" w:hAnsi="Times New Roman"/>
          <w:spacing w:val="-4"/>
          <w:sz w:val="28"/>
          <w:szCs w:val="28"/>
        </w:rPr>
        <w:t>L</w:t>
      </w:r>
      <w:r w:rsidR="001B2BC5" w:rsidRPr="007A1976">
        <w:rPr>
          <w:rFonts w:ascii="Times New Roman" w:hAnsi="Times New Roman"/>
          <w:spacing w:val="-4"/>
          <w:sz w:val="28"/>
          <w:szCs w:val="28"/>
        </w:rPr>
        <w:t>uật Tương trợ tư pháp năm 2007</w:t>
      </w:r>
      <w:r>
        <w:rPr>
          <w:rFonts w:ascii="Times New Roman" w:hAnsi="Times New Roman"/>
          <w:spacing w:val="-4"/>
          <w:sz w:val="28"/>
          <w:szCs w:val="28"/>
        </w:rPr>
        <w:t>.</w:t>
      </w:r>
    </w:p>
    <w:p w14:paraId="0E7E56BF" w14:textId="77777777" w:rsidR="007A1976" w:rsidRPr="007A19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color w:val="000000"/>
          <w:spacing w:val="-2"/>
          <w:sz w:val="28"/>
          <w:szCs w:val="28"/>
        </w:rPr>
      </w:pPr>
      <w:r w:rsidRPr="007A1976">
        <w:rPr>
          <w:rFonts w:ascii="Times New Roman" w:hAnsi="Times New Roman"/>
          <w:sz w:val="28"/>
          <w:szCs w:val="28"/>
        </w:rPr>
        <w:t>Luật Luật sư năm 2006 (sửa đổi, bổ sung năm 2012).</w:t>
      </w:r>
    </w:p>
    <w:p w14:paraId="541A94C9" w14:textId="77777777" w:rsidR="007A1976" w:rsidRPr="007A19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color w:val="000000"/>
          <w:spacing w:val="-2"/>
          <w:sz w:val="28"/>
          <w:szCs w:val="28"/>
        </w:rPr>
      </w:pPr>
      <w:r w:rsidRPr="007A1976">
        <w:rPr>
          <w:rFonts w:ascii="Times New Roman" w:eastAsia="Times New Roman" w:hAnsi="Times New Roman"/>
          <w:color w:val="000000"/>
          <w:sz w:val="28"/>
          <w:szCs w:val="28"/>
        </w:rPr>
        <w:t>Luật Giám định tư pháp năm 2012.</w:t>
      </w:r>
    </w:p>
    <w:p w14:paraId="47C105CA" w14:textId="77777777" w:rsidR="007A19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sz w:val="28"/>
          <w:szCs w:val="28"/>
        </w:rPr>
      </w:pPr>
      <w:r w:rsidRPr="007A1976">
        <w:rPr>
          <w:rFonts w:ascii="Times New Roman" w:hAnsi="Times New Roman"/>
          <w:sz w:val="28"/>
          <w:szCs w:val="28"/>
        </w:rPr>
        <w:t xml:space="preserve">Pháp lệnh số </w:t>
      </w:r>
      <w:r w:rsidRPr="007A1976">
        <w:rPr>
          <w:rFonts w:ascii="Times New Roman" w:hAnsi="Times New Roman"/>
          <w:sz w:val="28"/>
          <w:szCs w:val="28"/>
          <w:lang w:val="nl-NL"/>
        </w:rPr>
        <w:t>02/2012/UBTVQH13 ngày 28/3/2012 của Ủy ban Thường vụ Quốc hội về chi phí giám định, định giá; chi phí cho người làm chứng, người phiên dịch trong tố tụng</w:t>
      </w:r>
      <w:r w:rsidR="007A1976" w:rsidRPr="007A1976">
        <w:rPr>
          <w:rFonts w:ascii="Times New Roman" w:hAnsi="Times New Roman"/>
          <w:sz w:val="28"/>
          <w:szCs w:val="28"/>
        </w:rPr>
        <w:t>.</w:t>
      </w:r>
    </w:p>
    <w:p w14:paraId="6BF87136" w14:textId="33369144" w:rsidR="001B2BC5" w:rsidRPr="007A19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sz w:val="28"/>
          <w:szCs w:val="28"/>
        </w:rPr>
      </w:pPr>
      <w:r w:rsidRPr="007A1976">
        <w:rPr>
          <w:rFonts w:ascii="Times New Roman" w:hAnsi="Times New Roman"/>
          <w:sz w:val="28"/>
          <w:szCs w:val="28"/>
        </w:rPr>
        <w:t>Nghị định số 92/2008/NĐ-CP ngày 22/8/2008 của Chính phủ về việc quy định chi tiết và hướng dẫn thi hành một số điều của Luật Tương trợ tư pháp</w:t>
      </w:r>
      <w:r w:rsidR="007A1976">
        <w:rPr>
          <w:rFonts w:ascii="Times New Roman" w:hAnsi="Times New Roman"/>
          <w:sz w:val="28"/>
          <w:szCs w:val="28"/>
        </w:rPr>
        <w:t>.</w:t>
      </w:r>
    </w:p>
    <w:p w14:paraId="032BBF22" w14:textId="77777777" w:rsidR="007A1976"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Nghị định số 123/2013/NĐ-CP ngày 14/10/2013 của Chính phủ quy định chi tiết một số điều và biện pháp thi hành Luật Luật s</w:t>
      </w:r>
      <w:r w:rsidR="007A1976">
        <w:rPr>
          <w:rFonts w:ascii="Times New Roman" w:hAnsi="Times New Roman"/>
          <w:sz w:val="28"/>
          <w:szCs w:val="28"/>
        </w:rPr>
        <w:t>ư.</w:t>
      </w:r>
    </w:p>
    <w:p w14:paraId="1CD6BAD5" w14:textId="77777777" w:rsidR="007A1976"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Nghị định số 85/2013/NĐ-CP ngày 29/7/2013 của Chính phủ quy định chi tiết và biện pháp thi hành Luật Giám định tư pháp</w:t>
      </w:r>
      <w:r w:rsidR="007A1976">
        <w:rPr>
          <w:rFonts w:ascii="Times New Roman" w:hAnsi="Times New Roman"/>
          <w:sz w:val="28"/>
          <w:szCs w:val="28"/>
        </w:rPr>
        <w:t>.</w:t>
      </w:r>
    </w:p>
    <w:p w14:paraId="163CB73E" w14:textId="77777777" w:rsidR="007A1976"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Nghị định số 81/2014/NĐ-CP ngày 14/8/2014 của Chính phủ quy định chi tiết một số điều của Pháp lệnh chi phí giám định, định giá; chi phí cho người làm chứng, người phiên dịch trong tố tụng</w:t>
      </w:r>
      <w:r w:rsidR="007A1976">
        <w:rPr>
          <w:rFonts w:ascii="Times New Roman" w:hAnsi="Times New Roman"/>
          <w:sz w:val="28"/>
          <w:szCs w:val="28"/>
        </w:rPr>
        <w:t>.</w:t>
      </w:r>
    </w:p>
    <w:p w14:paraId="62E7FF2B" w14:textId="075F685B" w:rsidR="001B2BC5" w:rsidRPr="00B116C9"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Nghị định số 137/2018/NĐ-CP ngày 08/10/2018 sửa đổi, bổ sung một số điều của Nghị định 123/2013/NĐ-CP</w:t>
      </w:r>
      <w:r w:rsidR="007A1976">
        <w:rPr>
          <w:rFonts w:ascii="Times New Roman" w:hAnsi="Times New Roman"/>
          <w:sz w:val="28"/>
          <w:szCs w:val="28"/>
        </w:rPr>
        <w:t>.</w:t>
      </w:r>
    </w:p>
    <w:p w14:paraId="7934FE6B" w14:textId="305D85F7" w:rsidR="001B2BC5" w:rsidRPr="00B116C9"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Quyết định số 01/2014/QĐ-TTg ngày 01/01/2014 về chế độ bồi dưỡng giám định tư pháp</w:t>
      </w:r>
      <w:r w:rsidR="007A1976">
        <w:rPr>
          <w:rFonts w:ascii="Times New Roman" w:hAnsi="Times New Roman"/>
          <w:sz w:val="28"/>
          <w:szCs w:val="28"/>
        </w:rPr>
        <w:t>.</w:t>
      </w:r>
    </w:p>
    <w:p w14:paraId="01113AFF" w14:textId="63058120" w:rsidR="001B2BC5" w:rsidRPr="00B116C9"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Quyết định số 41/2012/QĐ-TTg ngày 05/10/2012 của Thủ tướng Chính phủ quy định về chế độ bồi dưỡng đối với người tham gia phiên tòa, phiên họp giải quyết việc dân sự</w:t>
      </w:r>
      <w:r w:rsidR="007A1976">
        <w:rPr>
          <w:rFonts w:ascii="Times New Roman" w:hAnsi="Times New Roman"/>
          <w:sz w:val="28"/>
          <w:szCs w:val="28"/>
        </w:rPr>
        <w:t>.</w:t>
      </w:r>
    </w:p>
    <w:p w14:paraId="0D110050" w14:textId="3F844A67" w:rsidR="001B2BC5"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144/2012/TT-BTC ngày 04/9/2012 của Bộ Tài chính về kinh phí đảm bảo cho công tác tương trợ tư pháp</w:t>
      </w:r>
      <w:r w:rsidR="007A1976">
        <w:rPr>
          <w:rFonts w:ascii="Times New Roman" w:hAnsi="Times New Roman"/>
          <w:sz w:val="28"/>
          <w:szCs w:val="28"/>
        </w:rPr>
        <w:t>.</w:t>
      </w:r>
    </w:p>
    <w:p w14:paraId="3B32C2C8" w14:textId="77C863BE" w:rsidR="00012C42" w:rsidRPr="00FC409E" w:rsidRDefault="00012C42" w:rsidP="00012C42">
      <w:pPr>
        <w:pStyle w:val="FootnoteText"/>
        <w:numPr>
          <w:ilvl w:val="0"/>
          <w:numId w:val="1"/>
        </w:numPr>
        <w:tabs>
          <w:tab w:val="left" w:pos="1134"/>
        </w:tabs>
        <w:spacing w:before="120"/>
        <w:ind w:left="0" w:firstLine="709"/>
        <w:jc w:val="both"/>
        <w:rPr>
          <w:rFonts w:ascii="Times New Roman" w:hAnsi="Times New Roman"/>
          <w:spacing w:val="-6"/>
          <w:sz w:val="28"/>
          <w:szCs w:val="28"/>
        </w:rPr>
      </w:pPr>
      <w:r w:rsidRPr="00FC409E">
        <w:rPr>
          <w:rFonts w:ascii="Times New Roman" w:hAnsi="Times New Roman"/>
          <w:spacing w:val="-6"/>
          <w:sz w:val="28"/>
          <w:szCs w:val="28"/>
        </w:rPr>
        <w:t>Thông tư số 03/2013/TT-BCA ngày 10/01/2013 của Bộ trưởng Bộ Công an quy định về quản lý và sử dụng kinh phí điề</w:t>
      </w:r>
      <w:r w:rsidR="00FC409E" w:rsidRPr="00FC409E">
        <w:rPr>
          <w:rFonts w:ascii="Times New Roman" w:hAnsi="Times New Roman"/>
          <w:spacing w:val="-6"/>
          <w:sz w:val="28"/>
          <w:szCs w:val="28"/>
        </w:rPr>
        <w:t>u tra trong Công an nhân dân.</w:t>
      </w:r>
    </w:p>
    <w:p w14:paraId="6045AEF7" w14:textId="0D67E496" w:rsidR="001B2BC5" w:rsidRDefault="001B2BC5" w:rsidP="003004D9">
      <w:pPr>
        <w:pStyle w:val="FootnoteText"/>
        <w:numPr>
          <w:ilvl w:val="0"/>
          <w:numId w:val="1"/>
        </w:numPr>
        <w:tabs>
          <w:tab w:val="left" w:pos="1134"/>
        </w:tabs>
        <w:spacing w:before="120"/>
        <w:ind w:left="0" w:firstLine="709"/>
        <w:jc w:val="both"/>
        <w:rPr>
          <w:rFonts w:ascii="Times New Roman" w:hAnsi="Times New Roman"/>
          <w:spacing w:val="-4"/>
          <w:sz w:val="28"/>
          <w:szCs w:val="28"/>
        </w:rPr>
      </w:pPr>
      <w:r w:rsidRPr="00AF5843">
        <w:rPr>
          <w:rFonts w:ascii="Times New Roman" w:hAnsi="Times New Roman"/>
          <w:spacing w:val="-4"/>
          <w:sz w:val="28"/>
          <w:szCs w:val="28"/>
        </w:rPr>
        <w:t xml:space="preserve">Thông tư </w:t>
      </w:r>
      <w:r w:rsidR="00B41549">
        <w:rPr>
          <w:rFonts w:ascii="Times New Roman" w:hAnsi="Times New Roman"/>
          <w:spacing w:val="-4"/>
          <w:sz w:val="28"/>
          <w:szCs w:val="28"/>
        </w:rPr>
        <w:t xml:space="preserve">số </w:t>
      </w:r>
      <w:r w:rsidRPr="00AF5843">
        <w:rPr>
          <w:rFonts w:ascii="Times New Roman" w:hAnsi="Times New Roman"/>
          <w:spacing w:val="-4"/>
          <w:sz w:val="28"/>
          <w:szCs w:val="28"/>
        </w:rPr>
        <w:t>18/2014/TT-BTC ngày 11/02/2014 của Bộ Tài chính quy định mức thu, chế độ thu, nộp, quản lý và sử dụng phí thực hiện UTTP về dân sự</w:t>
      </w:r>
      <w:r w:rsidR="007A1976" w:rsidRPr="00AF5843">
        <w:rPr>
          <w:rFonts w:ascii="Times New Roman" w:hAnsi="Times New Roman"/>
          <w:spacing w:val="-4"/>
          <w:sz w:val="28"/>
          <w:szCs w:val="28"/>
        </w:rPr>
        <w:t>.</w:t>
      </w:r>
    </w:p>
    <w:p w14:paraId="7C1F4511" w14:textId="77777777" w:rsidR="00B41549" w:rsidRDefault="00B41549" w:rsidP="00B4154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lastRenderedPageBreak/>
        <w:t>Thông tư số 34/2014/TT-BTC ngày 21/3/2014 của Bộ Tài chính quy định mức thu, chế độ thu, nộp, quản lý và sử dụng phí giám định tư pháp trong lĩnh vực pháp</w:t>
      </w:r>
      <w:r>
        <w:rPr>
          <w:rFonts w:ascii="Times New Roman" w:hAnsi="Times New Roman"/>
          <w:sz w:val="28"/>
          <w:szCs w:val="28"/>
        </w:rPr>
        <w:t>.</w:t>
      </w:r>
    </w:p>
    <w:p w14:paraId="56AD1DE0" w14:textId="77777777" w:rsidR="00B41549" w:rsidRDefault="00B41549" w:rsidP="00B4154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35/2014/TT-BTC ngày 21/3/2014 quy định mức thu, chế độ thu, nộp, quản lý và sử dụng phí giám định tư pháp trong lĩnh vực pháp y tâm thầ</w:t>
      </w:r>
      <w:r>
        <w:rPr>
          <w:rFonts w:ascii="Times New Roman" w:hAnsi="Times New Roman"/>
          <w:sz w:val="28"/>
          <w:szCs w:val="28"/>
        </w:rPr>
        <w:t>n.</w:t>
      </w:r>
    </w:p>
    <w:p w14:paraId="60C67585" w14:textId="77777777" w:rsidR="00B41549" w:rsidRPr="00B116C9" w:rsidRDefault="00B41549" w:rsidP="00B4154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50/2014/TT-BTC ngày 24/4/2014 quy định mức thu, chế độ thu, nộp, quản lý và sử dụng phí giám định tư pháp trong lĩnh vực kỹ thuật hình sự</w:t>
      </w:r>
      <w:r>
        <w:rPr>
          <w:rFonts w:ascii="Times New Roman" w:hAnsi="Times New Roman"/>
          <w:sz w:val="28"/>
          <w:szCs w:val="28"/>
        </w:rPr>
        <w:t>.</w:t>
      </w:r>
    </w:p>
    <w:p w14:paraId="3ECA97B5" w14:textId="5C85622D" w:rsidR="001B2BC5" w:rsidRPr="00B116C9"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97/2014/TT-BTC ngày 24/7/2014 quy định mức thu, chế độ thu, nộp, quản lý và sử dụng phí giám định tư pháp trong lĩnh vực thông tin truyền thông</w:t>
      </w:r>
      <w:r w:rsidR="007A1976">
        <w:rPr>
          <w:rFonts w:ascii="Times New Roman" w:hAnsi="Times New Roman"/>
          <w:sz w:val="28"/>
          <w:szCs w:val="28"/>
        </w:rPr>
        <w:t>.</w:t>
      </w:r>
    </w:p>
    <w:p w14:paraId="0407DE61" w14:textId="77777777" w:rsidR="00B41549" w:rsidRPr="00B116C9" w:rsidRDefault="00B41549" w:rsidP="00B4154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137/2014/TT-BTC ngày 18/9/2014 của Bộ Tài chính hướng dẫn lập dự toán, chấp hành và quyết toán kinh phí chi trả tiền bồi dưỡng giám định tư pháp của các cơ quan tiến hành tố tụng theo quy định tại Quyết định số 01/2014/QĐ-TTg ngày 01/01/2014 của Thủ tướng Chính phủ về chế độ bồi dưỡng giám định tư pháp.</w:t>
      </w:r>
    </w:p>
    <w:p w14:paraId="35B6EC1E" w14:textId="5BEEF740" w:rsidR="001B2BC5" w:rsidRPr="00B116C9"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215/2015/TT-BTC ngày 31/12/2015 của Bộ Tài chính hướng dẫn về lập dự toán, chấp hành và quyết toán kinh phí ngân sách nhà nước bảo đảm hoạt động trưng cầu giám định, định giá, triệu tập người làm chứng, người phiên dịch của cơ quan tiến hành tố tụng</w:t>
      </w:r>
      <w:r w:rsidR="007A1976">
        <w:rPr>
          <w:rFonts w:ascii="Times New Roman" w:hAnsi="Times New Roman"/>
          <w:sz w:val="28"/>
          <w:szCs w:val="28"/>
        </w:rPr>
        <w:t>.</w:t>
      </w:r>
    </w:p>
    <w:p w14:paraId="458D1C3B" w14:textId="2C8AADEC" w:rsidR="001B2BC5"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203/2016/TT-BTC ngày 09/11/2016 của Bộ Tài chính quy định mức thu, chế độ thu, nộp, quản lý phí thực hiện ủy thác tư pháp về dân sự có yếu tố nước ngoài</w:t>
      </w:r>
      <w:r w:rsidR="007A1976">
        <w:rPr>
          <w:rFonts w:ascii="Times New Roman" w:hAnsi="Times New Roman"/>
          <w:sz w:val="28"/>
          <w:szCs w:val="28"/>
        </w:rPr>
        <w:t>.</w:t>
      </w:r>
    </w:p>
    <w:p w14:paraId="2E189F00" w14:textId="13C65EB1" w:rsidR="00144BEF" w:rsidRPr="00B116C9" w:rsidRDefault="00144BEF" w:rsidP="00144BEF">
      <w:pPr>
        <w:pStyle w:val="FootnoteText"/>
        <w:numPr>
          <w:ilvl w:val="0"/>
          <w:numId w:val="1"/>
        </w:numPr>
        <w:tabs>
          <w:tab w:val="left" w:pos="1134"/>
        </w:tabs>
        <w:spacing w:before="120"/>
        <w:ind w:left="0" w:firstLine="709"/>
        <w:jc w:val="both"/>
        <w:rPr>
          <w:rFonts w:ascii="Times New Roman" w:hAnsi="Times New Roman"/>
          <w:sz w:val="28"/>
          <w:szCs w:val="28"/>
        </w:rPr>
      </w:pPr>
      <w:r w:rsidRPr="00144BEF">
        <w:rPr>
          <w:rFonts w:ascii="Times New Roman" w:hAnsi="Times New Roman"/>
          <w:sz w:val="28"/>
          <w:szCs w:val="28"/>
        </w:rPr>
        <w:t>Thông tư số 49/2017/TT-BCA ngày 26/10/2017 của Bộ trưởng Bộ Công an quy định chi tiết chế độ bồi dưỡng giám định tư pháp trong lĩnh vực kỹ thuật hình sự, thành phần, số người thực hiện nhiệm vụ khi giám định đối với trường hợp khám nghiệm tử thi, mổ tử thi và khai quật tử</w:t>
      </w:r>
      <w:r>
        <w:rPr>
          <w:rFonts w:ascii="Times New Roman" w:hAnsi="Times New Roman"/>
          <w:sz w:val="28"/>
          <w:szCs w:val="28"/>
        </w:rPr>
        <w:t xml:space="preserve"> thi.</w:t>
      </w:r>
    </w:p>
    <w:p w14:paraId="5180DB66" w14:textId="1126AC2E" w:rsidR="001B2BC5" w:rsidRPr="00B116C9"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số 30/2020/TT-BTC ngày 17/4/2020 của Bộ Tài chính hướng dẫn một số điều của Nghị định số 30/2018/NĐ-CP ngày 07/3/2018 của Chính phủ quy định chi tiết việc thành lập và hoạt động của Hội đồng định giá tài sản; trình tự, thủ tục định giá tài sản trong tố tụng hình sự và Nghị định số 97/2019/NĐ-CP ngày 23/12/2019 của Chính phủ sửa đổi, bổ sung một số điều của Nghị định số 30/2018/NĐ-CP ngày 07/3/2018 của Chính phủ quy định chi tiết việc thành lập và hoạt động của Hội đồng định giá tài sản; trình tự, thủ tục định giá tài sản trong tố tụng hình sự (thay thế Thông tư số 43/2018/TT-BTC ngày 07/5/2018 của Bộ Tài chính)</w:t>
      </w:r>
      <w:r w:rsidR="007A1976">
        <w:rPr>
          <w:rFonts w:ascii="Times New Roman" w:hAnsi="Times New Roman"/>
          <w:sz w:val="28"/>
          <w:szCs w:val="28"/>
        </w:rPr>
        <w:t>.</w:t>
      </w:r>
    </w:p>
    <w:p w14:paraId="29DDF640" w14:textId="77777777" w:rsidR="007A1976"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7A1976">
        <w:rPr>
          <w:rFonts w:ascii="Times New Roman" w:hAnsi="Times New Roman"/>
          <w:sz w:val="28"/>
          <w:szCs w:val="28"/>
        </w:rPr>
        <w:t>Thông tư số 63/2020/TT-BTC ngày 25/6/2020 của Bộ Tài chính hướng dẫn lập dự toán, quản lý, sử dụng và quyết toán kinh phí thực hiện các nhiệm vụ, hoạt động của Đề án đổi mới và nâng cao hiệu quả hoạt động giám định tư phá</w:t>
      </w:r>
      <w:r w:rsidR="007A1976" w:rsidRPr="007A1976">
        <w:rPr>
          <w:rFonts w:ascii="Times New Roman" w:hAnsi="Times New Roman"/>
          <w:sz w:val="28"/>
          <w:szCs w:val="28"/>
        </w:rPr>
        <w:t>p.</w:t>
      </w:r>
    </w:p>
    <w:p w14:paraId="70CE68E5" w14:textId="1AC1F974" w:rsidR="001B2BC5" w:rsidRPr="007A1976"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7A1976">
        <w:rPr>
          <w:rFonts w:ascii="Times New Roman" w:hAnsi="Times New Roman"/>
          <w:sz w:val="28"/>
          <w:szCs w:val="28"/>
        </w:rPr>
        <w:lastRenderedPageBreak/>
        <w:t>Thông tư liên tịch số 02/2014/TTLT-TANDTC-VKSNDTC-BTP-BTC ngày 28/3/2014 của Tòa án nhân dân tối cao, Viện kiểm sát nhân dân tối cao, Bộ Tư pháp và Bộ Tài chính hướng dẫn thi hành Điều 92 Bộ luật Tố tụng dân sự đã được sửa đổi, bổ sung theo Luật sửa đổi, bổ sung một số điều của Bộ luật Tố tụng dân sự về định giá tài sản, thẩm định giá tài sản</w:t>
      </w:r>
      <w:r w:rsidR="007A1976">
        <w:rPr>
          <w:rFonts w:ascii="Times New Roman" w:hAnsi="Times New Roman"/>
          <w:sz w:val="28"/>
          <w:szCs w:val="28"/>
        </w:rPr>
        <w:t>.</w:t>
      </w:r>
    </w:p>
    <w:p w14:paraId="399B169F" w14:textId="6CD2A43A" w:rsidR="001B2BC5" w:rsidRPr="00B116C9" w:rsidRDefault="001B2BC5" w:rsidP="003004D9">
      <w:pPr>
        <w:pStyle w:val="FootnoteText"/>
        <w:numPr>
          <w:ilvl w:val="0"/>
          <w:numId w:val="1"/>
        </w:numPr>
        <w:tabs>
          <w:tab w:val="left" w:pos="1134"/>
        </w:tabs>
        <w:spacing w:before="120"/>
        <w:ind w:left="0" w:firstLine="709"/>
        <w:jc w:val="both"/>
        <w:rPr>
          <w:rFonts w:ascii="Times New Roman" w:hAnsi="Times New Roman"/>
          <w:sz w:val="28"/>
          <w:szCs w:val="28"/>
        </w:rPr>
      </w:pPr>
      <w:r w:rsidRPr="00B116C9">
        <w:rPr>
          <w:rFonts w:ascii="Times New Roman" w:hAnsi="Times New Roman"/>
          <w:sz w:val="28"/>
          <w:szCs w:val="28"/>
        </w:rPr>
        <w:t>Thông tư liên tịch số 191/2014/TTLT-BTC-BTP ngày 12/12/2014 hướng dẫn về thù lao Luật sư trong trường hợp Luật sư tham gia tố tụng theo yêu cầu của cơ quan tiến hành tố tụng</w:t>
      </w:r>
      <w:r w:rsidR="007A1976">
        <w:rPr>
          <w:rFonts w:ascii="Times New Roman" w:hAnsi="Times New Roman"/>
          <w:sz w:val="28"/>
          <w:szCs w:val="28"/>
        </w:rPr>
        <w:t>.</w:t>
      </w:r>
    </w:p>
    <w:p w14:paraId="170CB292" w14:textId="6528870C" w:rsidR="00045F76" w:rsidRDefault="001B2BC5" w:rsidP="003004D9">
      <w:pPr>
        <w:pStyle w:val="ListParagraph"/>
        <w:numPr>
          <w:ilvl w:val="0"/>
          <w:numId w:val="1"/>
        </w:numPr>
        <w:tabs>
          <w:tab w:val="left" w:pos="1134"/>
        </w:tabs>
        <w:spacing w:before="120" w:after="0" w:line="240" w:lineRule="auto"/>
        <w:ind w:left="0" w:firstLine="709"/>
        <w:contextualSpacing w:val="0"/>
        <w:jc w:val="both"/>
        <w:rPr>
          <w:rFonts w:ascii="Times New Roman" w:hAnsi="Times New Roman"/>
          <w:sz w:val="28"/>
          <w:szCs w:val="28"/>
        </w:rPr>
      </w:pPr>
      <w:r w:rsidRPr="00DD77B6">
        <w:rPr>
          <w:rFonts w:ascii="Times New Roman" w:hAnsi="Times New Roman"/>
          <w:sz w:val="28"/>
          <w:szCs w:val="28"/>
        </w:rPr>
        <w:t>Thông tư liên tịch</w:t>
      </w:r>
      <w:r w:rsidR="004D1EA9">
        <w:rPr>
          <w:rFonts w:ascii="Times New Roman" w:hAnsi="Times New Roman"/>
          <w:sz w:val="28"/>
          <w:szCs w:val="28"/>
        </w:rPr>
        <w:t xml:space="preserve"> số</w:t>
      </w:r>
      <w:r w:rsidRPr="00DD77B6">
        <w:rPr>
          <w:rFonts w:ascii="Times New Roman" w:hAnsi="Times New Roman"/>
          <w:sz w:val="28"/>
          <w:szCs w:val="28"/>
        </w:rPr>
        <w:t xml:space="preserve"> 12/2016/TTLT-BTP-BNG-TANDTC ngày 19/10/2016 của Bộ Tư pháp, Bộ Ngoại giao, Tòa án nhân dân tối cao quy định trình tự, thủ tục tương trợ tư pháp về dân sự.</w:t>
      </w:r>
    </w:p>
    <w:p w14:paraId="26F5F136" w14:textId="44337C35" w:rsidR="0058149F" w:rsidRDefault="0058149F" w:rsidP="003004D9">
      <w:pPr>
        <w:pStyle w:val="ListParagraph"/>
        <w:tabs>
          <w:tab w:val="left" w:pos="1134"/>
        </w:tabs>
        <w:spacing w:before="120" w:after="0" w:line="240" w:lineRule="auto"/>
        <w:ind w:left="709"/>
        <w:contextualSpacing w:val="0"/>
        <w:jc w:val="both"/>
        <w:rPr>
          <w:rFonts w:ascii="Times New Roman" w:hAnsi="Times New Roman"/>
          <w:sz w:val="28"/>
          <w:szCs w:val="28"/>
        </w:rPr>
      </w:pPr>
    </w:p>
    <w:p w14:paraId="01D96464" w14:textId="36F35F18" w:rsidR="0058149F" w:rsidRPr="00B116C9" w:rsidRDefault="0058149F" w:rsidP="003004D9">
      <w:pPr>
        <w:spacing w:before="120" w:after="0" w:line="240" w:lineRule="auto"/>
        <w:ind w:firstLine="709"/>
        <w:jc w:val="both"/>
        <w:rPr>
          <w:rFonts w:ascii="Times New Roman" w:hAnsi="Times New Roman"/>
          <w:b/>
          <w:bCs/>
          <w:color w:val="000000"/>
          <w:spacing w:val="-2"/>
          <w:sz w:val="28"/>
          <w:szCs w:val="28"/>
        </w:rPr>
      </w:pPr>
      <w:r w:rsidRPr="0058149F">
        <w:rPr>
          <w:rFonts w:ascii="Times New Roman" w:hAnsi="Times New Roman"/>
          <w:b/>
          <w:bCs/>
          <w:sz w:val="28"/>
          <w:szCs w:val="28"/>
        </w:rPr>
        <w:t xml:space="preserve">II. </w:t>
      </w:r>
      <w:r>
        <w:rPr>
          <w:rFonts w:ascii="Times New Roman" w:hAnsi="Times New Roman"/>
          <w:b/>
          <w:bCs/>
          <w:color w:val="000000"/>
          <w:spacing w:val="-2"/>
          <w:sz w:val="28"/>
          <w:szCs w:val="28"/>
        </w:rPr>
        <w:t>Luật, Pháp lệnh và văn bản quy định chi tiết, hướng dẫn thi hành Luật, Pháp lệnh từ năm 2015</w:t>
      </w:r>
    </w:p>
    <w:p w14:paraId="43423776" w14:textId="77777777" w:rsidR="00347B56" w:rsidRDefault="00347B56" w:rsidP="003004D9">
      <w:pPr>
        <w:pStyle w:val="ListParagraph"/>
        <w:numPr>
          <w:ilvl w:val="0"/>
          <w:numId w:val="6"/>
        </w:numPr>
        <w:tabs>
          <w:tab w:val="left" w:pos="1134"/>
        </w:tabs>
        <w:spacing w:before="120" w:after="0" w:line="240" w:lineRule="auto"/>
        <w:ind w:left="0" w:firstLine="709"/>
        <w:contextualSpacing w:val="0"/>
        <w:jc w:val="both"/>
        <w:rPr>
          <w:rFonts w:ascii="Times New Roman" w:hAnsi="Times New Roman"/>
          <w:sz w:val="28"/>
          <w:szCs w:val="28"/>
        </w:rPr>
      </w:pPr>
      <w:r w:rsidRPr="00F210B6">
        <w:rPr>
          <w:rFonts w:ascii="Times New Roman" w:hAnsi="Times New Roman"/>
          <w:sz w:val="28"/>
          <w:szCs w:val="28"/>
        </w:rPr>
        <w:t>Bộ luật Tố tụng hình sự</w:t>
      </w:r>
      <w:r>
        <w:rPr>
          <w:rFonts w:ascii="Times New Roman" w:hAnsi="Times New Roman"/>
          <w:sz w:val="28"/>
          <w:szCs w:val="28"/>
        </w:rPr>
        <w:t xml:space="preserve"> năm 2015.</w:t>
      </w:r>
    </w:p>
    <w:p w14:paraId="04D9D221" w14:textId="77777777" w:rsidR="00347B56" w:rsidRDefault="00347B56" w:rsidP="003004D9">
      <w:pPr>
        <w:pStyle w:val="ListParagraph"/>
        <w:numPr>
          <w:ilvl w:val="0"/>
          <w:numId w:val="6"/>
        </w:numPr>
        <w:tabs>
          <w:tab w:val="left" w:pos="1134"/>
        </w:tabs>
        <w:spacing w:before="120" w:after="0" w:line="240" w:lineRule="auto"/>
        <w:ind w:left="0" w:firstLine="709"/>
        <w:contextualSpacing w:val="0"/>
        <w:jc w:val="both"/>
        <w:rPr>
          <w:rFonts w:ascii="Times New Roman" w:hAnsi="Times New Roman"/>
          <w:sz w:val="28"/>
          <w:szCs w:val="28"/>
        </w:rPr>
      </w:pPr>
      <w:r w:rsidRPr="00F210B6">
        <w:rPr>
          <w:rFonts w:ascii="Times New Roman" w:hAnsi="Times New Roman"/>
          <w:sz w:val="28"/>
          <w:szCs w:val="28"/>
        </w:rPr>
        <w:t>Bộ luật Tố tụng dân sự</w:t>
      </w:r>
      <w:r>
        <w:rPr>
          <w:rFonts w:ascii="Times New Roman" w:hAnsi="Times New Roman"/>
          <w:sz w:val="28"/>
          <w:szCs w:val="28"/>
        </w:rPr>
        <w:t xml:space="preserve"> năm 2015.</w:t>
      </w:r>
    </w:p>
    <w:p w14:paraId="1E83C975" w14:textId="2ACA895C" w:rsidR="00347B56" w:rsidRDefault="00347B56" w:rsidP="003004D9">
      <w:pPr>
        <w:pStyle w:val="ListParagraph"/>
        <w:numPr>
          <w:ilvl w:val="0"/>
          <w:numId w:val="6"/>
        </w:numPr>
        <w:tabs>
          <w:tab w:val="left" w:pos="1134"/>
        </w:tabs>
        <w:spacing w:before="120" w:after="0" w:line="240" w:lineRule="auto"/>
        <w:ind w:left="0" w:firstLine="709"/>
        <w:contextualSpacing w:val="0"/>
        <w:jc w:val="both"/>
        <w:rPr>
          <w:rFonts w:ascii="Times New Roman" w:hAnsi="Times New Roman"/>
          <w:sz w:val="28"/>
          <w:szCs w:val="28"/>
        </w:rPr>
      </w:pPr>
      <w:r w:rsidRPr="00F210B6">
        <w:rPr>
          <w:rFonts w:ascii="Times New Roman" w:hAnsi="Times New Roman"/>
          <w:sz w:val="28"/>
          <w:szCs w:val="28"/>
        </w:rPr>
        <w:t>Luật Tố tụng hành chính</w:t>
      </w:r>
      <w:r>
        <w:rPr>
          <w:rFonts w:ascii="Times New Roman" w:hAnsi="Times New Roman"/>
          <w:sz w:val="28"/>
          <w:szCs w:val="28"/>
        </w:rPr>
        <w:t xml:space="preserve"> năm 2015.</w:t>
      </w:r>
    </w:p>
    <w:p w14:paraId="7A53FD27" w14:textId="6726EDCB" w:rsidR="00854A5C" w:rsidRPr="00854A5C" w:rsidRDefault="00854A5C" w:rsidP="003004D9">
      <w:pPr>
        <w:pStyle w:val="ListParagraph"/>
        <w:numPr>
          <w:ilvl w:val="0"/>
          <w:numId w:val="6"/>
        </w:numPr>
        <w:tabs>
          <w:tab w:val="left" w:pos="1134"/>
        </w:tabs>
        <w:spacing w:before="120" w:after="0" w:line="240" w:lineRule="auto"/>
        <w:ind w:left="0" w:firstLine="709"/>
        <w:contextualSpacing w:val="0"/>
        <w:jc w:val="both"/>
        <w:rPr>
          <w:rFonts w:ascii="Times New Roman" w:hAnsi="Times New Roman"/>
          <w:sz w:val="28"/>
          <w:szCs w:val="28"/>
        </w:rPr>
      </w:pPr>
      <w:r w:rsidRPr="00854A5C">
        <w:rPr>
          <w:rFonts w:ascii="Times New Roman" w:hAnsi="Times New Roman"/>
          <w:sz w:val="28"/>
          <w:szCs w:val="28"/>
        </w:rPr>
        <w:t>Nghị định số 30/2018/NĐ-CP ngày 07/3/2018 của Chính phủ quy định chi tiết về việc thành lập và hoạt động của Hội đồng định giá tài sản; trình tự, thủ tục định giá tài sản trong tố tụng hình sự</w:t>
      </w:r>
      <w:r w:rsidR="00267FD7">
        <w:rPr>
          <w:rFonts w:ascii="Times New Roman" w:hAnsi="Times New Roman"/>
          <w:sz w:val="28"/>
          <w:szCs w:val="28"/>
        </w:rPr>
        <w:t>.</w:t>
      </w:r>
    </w:p>
    <w:p w14:paraId="0323CDD0" w14:textId="56A908B6" w:rsidR="00854A5C" w:rsidRPr="00854A5C" w:rsidRDefault="00854A5C" w:rsidP="003004D9">
      <w:pPr>
        <w:pStyle w:val="ListParagraph"/>
        <w:numPr>
          <w:ilvl w:val="0"/>
          <w:numId w:val="6"/>
        </w:numPr>
        <w:tabs>
          <w:tab w:val="left" w:pos="1134"/>
        </w:tabs>
        <w:spacing w:before="120" w:after="0" w:line="240" w:lineRule="auto"/>
        <w:ind w:left="0" w:firstLine="709"/>
        <w:contextualSpacing w:val="0"/>
        <w:jc w:val="both"/>
        <w:rPr>
          <w:rFonts w:ascii="Times New Roman" w:hAnsi="Times New Roman"/>
          <w:sz w:val="28"/>
          <w:szCs w:val="28"/>
        </w:rPr>
      </w:pPr>
      <w:r w:rsidRPr="00854A5C">
        <w:rPr>
          <w:rFonts w:ascii="Times New Roman" w:hAnsi="Times New Roman"/>
          <w:sz w:val="28"/>
          <w:szCs w:val="28"/>
        </w:rPr>
        <w:t>Nghị định số 97/2019/NĐ-CP ngày 23/12/2019 của Chính phủ sửa đổi, bổ sung một số điều của Nghị định số 30/2018/NĐ-CP ngày 07/3/2018 của Chính phủ quy định chi tiết về việc thành lập và hoạt động của Hội đồng định giá tài sản; trình tự, thủ tục định giá tài sản trong tố tụng hình sự</w:t>
      </w:r>
      <w:r w:rsidR="00267FD7">
        <w:rPr>
          <w:rFonts w:ascii="Times New Roman" w:hAnsi="Times New Roman"/>
          <w:sz w:val="28"/>
          <w:szCs w:val="28"/>
        </w:rPr>
        <w:t>.</w:t>
      </w:r>
    </w:p>
    <w:p w14:paraId="0F9B55CB" w14:textId="5794D26E" w:rsidR="00854A5C" w:rsidRPr="00854A5C" w:rsidRDefault="00854A5C" w:rsidP="003004D9">
      <w:pPr>
        <w:pStyle w:val="ListParagraph"/>
        <w:numPr>
          <w:ilvl w:val="0"/>
          <w:numId w:val="6"/>
        </w:numPr>
        <w:tabs>
          <w:tab w:val="left" w:pos="1134"/>
        </w:tabs>
        <w:spacing w:before="120" w:after="0" w:line="240" w:lineRule="auto"/>
        <w:ind w:left="0" w:firstLine="709"/>
        <w:contextualSpacing w:val="0"/>
        <w:jc w:val="both"/>
        <w:rPr>
          <w:rFonts w:ascii="Times New Roman" w:hAnsi="Times New Roman"/>
          <w:sz w:val="28"/>
          <w:szCs w:val="28"/>
        </w:rPr>
      </w:pPr>
      <w:r w:rsidRPr="00854A5C">
        <w:rPr>
          <w:rFonts w:ascii="Times New Roman" w:hAnsi="Times New Roman"/>
          <w:sz w:val="28"/>
          <w:szCs w:val="28"/>
        </w:rPr>
        <w:t>Thông tư liên tịch số 12/2016/TTLT-BTP-BNG-TANDTC của Bộ Tư pháp, Bộ Ngoại giao và Tòa án nhân dân tối cao ngày 19/10/2016 quy định về trình tự, thủ tục tương trợ t</w:t>
      </w:r>
      <w:bookmarkStart w:id="0" w:name="_GoBack"/>
      <w:bookmarkEnd w:id="0"/>
      <w:r w:rsidRPr="00854A5C">
        <w:rPr>
          <w:rFonts w:ascii="Times New Roman" w:hAnsi="Times New Roman"/>
          <w:sz w:val="28"/>
          <w:szCs w:val="28"/>
        </w:rPr>
        <w:t>ư pháp trong lĩnh vực dân sự</w:t>
      </w:r>
      <w:r w:rsidR="00267FD7">
        <w:rPr>
          <w:rFonts w:ascii="Times New Roman" w:hAnsi="Times New Roman"/>
          <w:sz w:val="28"/>
          <w:szCs w:val="28"/>
        </w:rPr>
        <w:t>.</w:t>
      </w:r>
    </w:p>
    <w:p w14:paraId="0630E40F" w14:textId="0359AE44" w:rsidR="0058149F" w:rsidRPr="00DD77B6" w:rsidRDefault="00854A5C" w:rsidP="003004D9">
      <w:pPr>
        <w:pStyle w:val="ListParagraph"/>
        <w:numPr>
          <w:ilvl w:val="0"/>
          <w:numId w:val="6"/>
        </w:numPr>
        <w:tabs>
          <w:tab w:val="left" w:pos="1134"/>
        </w:tabs>
        <w:spacing w:before="120" w:after="0" w:line="240" w:lineRule="auto"/>
        <w:ind w:left="0" w:firstLine="709"/>
        <w:contextualSpacing w:val="0"/>
        <w:jc w:val="both"/>
        <w:rPr>
          <w:rFonts w:ascii="Times New Roman" w:hAnsi="Times New Roman"/>
          <w:sz w:val="28"/>
          <w:szCs w:val="28"/>
        </w:rPr>
      </w:pPr>
      <w:r w:rsidRPr="00854A5C">
        <w:rPr>
          <w:rFonts w:ascii="Times New Roman" w:hAnsi="Times New Roman"/>
          <w:sz w:val="28"/>
          <w:szCs w:val="28"/>
        </w:rPr>
        <w:t>Thông tư liên tịch số 01/2019/TTLT-TANDTC-BNG ngày 05/12/2019 của Tòa án nhân dân tối cao và Bộ Ngoại giao quy định về trình tự, thủ tục phối hợp giữa Tòa án nhân dân và Cơ quan đại diện nước Cộng hòa xã hội chủ nghĩa Việt Nam ở nước ngoài để thực hiện một số hoạt động tố tụng dân sự và tố tụng hành chính ở nước ngoài.</w:t>
      </w:r>
    </w:p>
    <w:sectPr w:rsidR="0058149F" w:rsidRPr="00DD77B6" w:rsidSect="00AF5843">
      <w:pgSz w:w="11907" w:h="16840" w:code="9"/>
      <w:pgMar w:top="1134" w:right="1134" w:bottom="1134" w:left="1871"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H">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4776"/>
    <w:multiLevelType w:val="hybridMultilevel"/>
    <w:tmpl w:val="5EFE9548"/>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AAF0F23"/>
    <w:multiLevelType w:val="hybridMultilevel"/>
    <w:tmpl w:val="BD2CD268"/>
    <w:lvl w:ilvl="0" w:tplc="149604C4">
      <w:start w:val="1"/>
      <w:numFmt w:val="decimal"/>
      <w:lvlText w:val="(%1)"/>
      <w:lvlJc w:val="left"/>
      <w:pPr>
        <w:ind w:left="1814" w:hanging="396"/>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218403B8"/>
    <w:multiLevelType w:val="hybridMultilevel"/>
    <w:tmpl w:val="F3162CD8"/>
    <w:lvl w:ilvl="0" w:tplc="0409000F">
      <w:start w:val="1"/>
      <w:numFmt w:val="decimal"/>
      <w:lvlText w:val="%1."/>
      <w:lvlJc w:val="left"/>
      <w:pPr>
        <w:ind w:left="1153" w:hanging="444"/>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nsid w:val="23D14B5A"/>
    <w:multiLevelType w:val="hybridMultilevel"/>
    <w:tmpl w:val="364EDFA4"/>
    <w:lvl w:ilvl="0" w:tplc="630C5684">
      <w:start w:val="1"/>
      <w:numFmt w:val="decimal"/>
      <w:lvlText w:val="%1."/>
      <w:lvlJc w:val="left"/>
      <w:pPr>
        <w:ind w:left="1069" w:hanging="360"/>
      </w:pPr>
      <w:rPr>
        <w:rFonts w:hint="default"/>
      </w:rPr>
    </w:lvl>
    <w:lvl w:ilvl="1" w:tplc="1988BC32">
      <w:start w:val="1"/>
      <w:numFmt w:val="decimal"/>
      <w:lvlText w:val="(%2)"/>
      <w:lvlJc w:val="left"/>
      <w:pPr>
        <w:ind w:left="1813" w:hanging="384"/>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37847CB8"/>
    <w:multiLevelType w:val="hybridMultilevel"/>
    <w:tmpl w:val="3B0CC866"/>
    <w:lvl w:ilvl="0" w:tplc="AB64A81E">
      <w:start w:val="1"/>
      <w:numFmt w:val="decimal"/>
      <w:lvlText w:val="(%1)"/>
      <w:lvlJc w:val="left"/>
      <w:pPr>
        <w:ind w:left="1153" w:hanging="444"/>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6CE968BB"/>
    <w:multiLevelType w:val="hybridMultilevel"/>
    <w:tmpl w:val="3EB8ACFC"/>
    <w:lvl w:ilvl="0" w:tplc="149604C4">
      <w:start w:val="1"/>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BC5"/>
    <w:rsid w:val="00012C42"/>
    <w:rsid w:val="00045F76"/>
    <w:rsid w:val="00144BEF"/>
    <w:rsid w:val="001B2BC5"/>
    <w:rsid w:val="00267FD7"/>
    <w:rsid w:val="002C23B5"/>
    <w:rsid w:val="003004D9"/>
    <w:rsid w:val="00347B56"/>
    <w:rsid w:val="004D1EA9"/>
    <w:rsid w:val="0058149F"/>
    <w:rsid w:val="005A28B0"/>
    <w:rsid w:val="006A0022"/>
    <w:rsid w:val="006A05B3"/>
    <w:rsid w:val="006A6C66"/>
    <w:rsid w:val="006B2128"/>
    <w:rsid w:val="006F682C"/>
    <w:rsid w:val="007409A0"/>
    <w:rsid w:val="00753FE9"/>
    <w:rsid w:val="007A1976"/>
    <w:rsid w:val="00825529"/>
    <w:rsid w:val="00854A5C"/>
    <w:rsid w:val="009F0184"/>
    <w:rsid w:val="00AA09B0"/>
    <w:rsid w:val="00AF5843"/>
    <w:rsid w:val="00B116C9"/>
    <w:rsid w:val="00B41549"/>
    <w:rsid w:val="00DA020E"/>
    <w:rsid w:val="00DD77B6"/>
    <w:rsid w:val="00FC4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BC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9F01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F01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F018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11">
    <w:name w:val="Muc 1.1"/>
    <w:basedOn w:val="Heading2"/>
    <w:next w:val="Normal"/>
    <w:link w:val="Muc11Char"/>
    <w:autoRedefine/>
    <w:qFormat/>
    <w:rsid w:val="009F0184"/>
    <w:pPr>
      <w:spacing w:before="120" w:line="240" w:lineRule="auto"/>
    </w:pPr>
    <w:rPr>
      <w:rFonts w:ascii="Times New Roman" w:eastAsia="Times New Roman" w:hAnsi="Times New Roman" w:cs="Times New Roman"/>
      <w:b/>
      <w:bCs/>
      <w:color w:val="000000" w:themeColor="text1"/>
      <w:sz w:val="28"/>
      <w:lang w:val="x-none" w:eastAsia="x-none"/>
    </w:rPr>
  </w:style>
  <w:style w:type="character" w:customStyle="1" w:styleId="Muc11Char">
    <w:name w:val="Muc 1.1 Char"/>
    <w:basedOn w:val="Heading2Char"/>
    <w:link w:val="Muc11"/>
    <w:rsid w:val="009F0184"/>
    <w:rPr>
      <w:rFonts w:ascii="Times New Roman" w:eastAsia="Times New Roman" w:hAnsi="Times New Roman" w:cs="Times New Roman"/>
      <w:b/>
      <w:bCs/>
      <w:color w:val="000000" w:themeColor="text1"/>
      <w:sz w:val="28"/>
      <w:szCs w:val="26"/>
      <w:lang w:val="x-none" w:eastAsia="x-none"/>
    </w:rPr>
  </w:style>
  <w:style w:type="character" w:customStyle="1" w:styleId="Heading2Char">
    <w:name w:val="Heading 2 Char"/>
    <w:basedOn w:val="DefaultParagraphFont"/>
    <w:link w:val="Heading2"/>
    <w:uiPriority w:val="9"/>
    <w:semiHidden/>
    <w:rsid w:val="009F0184"/>
    <w:rPr>
      <w:rFonts w:asciiTheme="majorHAnsi" w:eastAsiaTheme="majorEastAsia" w:hAnsiTheme="majorHAnsi" w:cstheme="majorBidi"/>
      <w:color w:val="2F5496" w:themeColor="accent1" w:themeShade="BF"/>
      <w:sz w:val="26"/>
      <w:szCs w:val="26"/>
    </w:rPr>
  </w:style>
  <w:style w:type="paragraph" w:customStyle="1" w:styleId="McI">
    <w:name w:val="Mục I"/>
    <w:basedOn w:val="Heading1"/>
    <w:next w:val="Normal"/>
    <w:autoRedefine/>
    <w:qFormat/>
    <w:rsid w:val="009F0184"/>
    <w:pPr>
      <w:keepLines w:val="0"/>
      <w:spacing w:line="240" w:lineRule="auto"/>
      <w:ind w:firstLine="624"/>
      <w:jc w:val="both"/>
    </w:pPr>
    <w:rPr>
      <w:rFonts w:ascii="Times New Roman H" w:eastAsia="Times New Roman" w:hAnsi="Times New Roman H" w:cs="Times New Roman"/>
      <w:b/>
      <w:bCs/>
      <w:color w:val="000000" w:themeColor="text1"/>
      <w:spacing w:val="4"/>
      <w:sz w:val="28"/>
      <w:szCs w:val="28"/>
      <w:lang w:val="vi-VN" w:eastAsia="x-none"/>
    </w:rPr>
  </w:style>
  <w:style w:type="character" w:customStyle="1" w:styleId="Heading1Char">
    <w:name w:val="Heading 1 Char"/>
    <w:basedOn w:val="DefaultParagraphFont"/>
    <w:link w:val="Heading1"/>
    <w:uiPriority w:val="9"/>
    <w:rsid w:val="009F0184"/>
    <w:rPr>
      <w:rFonts w:asciiTheme="majorHAnsi" w:eastAsiaTheme="majorEastAsia" w:hAnsiTheme="majorHAnsi" w:cstheme="majorBidi"/>
      <w:color w:val="2F5496" w:themeColor="accent1" w:themeShade="BF"/>
      <w:sz w:val="32"/>
      <w:szCs w:val="32"/>
    </w:rPr>
  </w:style>
  <w:style w:type="paragraph" w:customStyle="1" w:styleId="Nidung">
    <w:name w:val="Nội dung"/>
    <w:basedOn w:val="Normal"/>
    <w:next w:val="Normal"/>
    <w:link w:val="NidungChar"/>
    <w:autoRedefine/>
    <w:qFormat/>
    <w:rsid w:val="009F0184"/>
    <w:pPr>
      <w:spacing w:before="120" w:after="0" w:line="240" w:lineRule="auto"/>
      <w:ind w:firstLine="624"/>
      <w:jc w:val="both"/>
    </w:pPr>
    <w:rPr>
      <w:rFonts w:ascii="Times New Roman" w:eastAsia="Times New Roman" w:hAnsi="Times New Roman" w:cstheme="majorBidi"/>
      <w:iCs/>
      <w:color w:val="000000" w:themeColor="text1"/>
      <w:sz w:val="28"/>
      <w:szCs w:val="30"/>
      <w:lang w:val="pt-BR"/>
    </w:rPr>
  </w:style>
  <w:style w:type="character" w:customStyle="1" w:styleId="Heading3Char">
    <w:name w:val="Heading 3 Char"/>
    <w:basedOn w:val="DefaultParagraphFont"/>
    <w:link w:val="Heading3"/>
    <w:uiPriority w:val="9"/>
    <w:semiHidden/>
    <w:rsid w:val="009F0184"/>
    <w:rPr>
      <w:rFonts w:asciiTheme="majorHAnsi" w:eastAsiaTheme="majorEastAsia" w:hAnsiTheme="majorHAnsi" w:cstheme="majorBidi"/>
      <w:color w:val="1F3763" w:themeColor="accent1" w:themeShade="7F"/>
      <w:sz w:val="24"/>
      <w:szCs w:val="24"/>
    </w:rPr>
  </w:style>
  <w:style w:type="paragraph" w:customStyle="1" w:styleId="Tiumc111">
    <w:name w:val="Tiểu mục (1.1.1)"/>
    <w:basedOn w:val="Normal"/>
    <w:next w:val="Normal"/>
    <w:link w:val="Tiumc111Char"/>
    <w:autoRedefine/>
    <w:qFormat/>
    <w:rsid w:val="009F0184"/>
    <w:pPr>
      <w:spacing w:before="120" w:after="0" w:line="240" w:lineRule="auto"/>
      <w:ind w:left="624"/>
    </w:pPr>
    <w:rPr>
      <w:rFonts w:ascii="Times New Roman" w:eastAsia="Times New Roman" w:hAnsi="Times New Roman"/>
      <w:i/>
      <w:color w:val="000000" w:themeColor="text1"/>
      <w:sz w:val="28"/>
      <w:lang w:val="vi-VN"/>
    </w:rPr>
  </w:style>
  <w:style w:type="character" w:customStyle="1" w:styleId="Tiumc111Char">
    <w:name w:val="Tiểu mục (1.1.1) Char"/>
    <w:basedOn w:val="DefaultParagraphFont"/>
    <w:link w:val="Tiumc111"/>
    <w:rsid w:val="009F0184"/>
    <w:rPr>
      <w:rFonts w:ascii="Times New Roman" w:eastAsia="Times New Roman" w:hAnsi="Times New Roman"/>
      <w:i/>
      <w:color w:val="000000" w:themeColor="text1"/>
      <w:sz w:val="28"/>
      <w:lang w:val="vi-VN"/>
    </w:rPr>
  </w:style>
  <w:style w:type="paragraph" w:customStyle="1" w:styleId="Ditiumc">
    <w:name w:val="Dưới tiểu mục"/>
    <w:basedOn w:val="Normal"/>
    <w:next w:val="Normal"/>
    <w:link w:val="DitiumcChar"/>
    <w:autoRedefine/>
    <w:qFormat/>
    <w:rsid w:val="009F0184"/>
    <w:pPr>
      <w:spacing w:before="120" w:after="0" w:line="240" w:lineRule="auto"/>
      <w:ind w:firstLine="624"/>
      <w:jc w:val="both"/>
    </w:pPr>
    <w:rPr>
      <w:rFonts w:ascii="Times New Roman Italic" w:eastAsia="Times New Roman" w:hAnsi="Times New Roman Italic"/>
      <w:i/>
      <w:color w:val="000000" w:themeColor="text1"/>
      <w:sz w:val="28"/>
    </w:rPr>
  </w:style>
  <w:style w:type="character" w:customStyle="1" w:styleId="DitiumcChar">
    <w:name w:val="Dưới tiểu mục Char"/>
    <w:basedOn w:val="DefaultParagraphFont"/>
    <w:link w:val="Ditiumc"/>
    <w:rsid w:val="009F0184"/>
    <w:rPr>
      <w:rFonts w:ascii="Times New Roman Italic" w:eastAsia="Times New Roman" w:hAnsi="Times New Roman Italic"/>
      <w:i/>
      <w:color w:val="000000" w:themeColor="text1"/>
      <w:sz w:val="28"/>
    </w:rPr>
  </w:style>
  <w:style w:type="character" w:customStyle="1" w:styleId="NidungChar">
    <w:name w:val="Nội dung Char"/>
    <w:basedOn w:val="Heading3Char"/>
    <w:link w:val="Nidung"/>
    <w:rsid w:val="009F0184"/>
    <w:rPr>
      <w:rFonts w:ascii="Times New Roman" w:eastAsia="Times New Roman" w:hAnsi="Times New Roman" w:cstheme="majorBidi"/>
      <w:iCs/>
      <w:color w:val="000000" w:themeColor="text1"/>
      <w:sz w:val="28"/>
      <w:szCs w:val="30"/>
      <w:lang w:val="pt-BR"/>
    </w:rPr>
  </w:style>
  <w:style w:type="paragraph" w:customStyle="1" w:styleId="Mc11">
    <w:name w:val="Mục 1.1"/>
    <w:basedOn w:val="Normal"/>
    <w:next w:val="Normal"/>
    <w:link w:val="Mc11Char"/>
    <w:autoRedefine/>
    <w:qFormat/>
    <w:rsid w:val="009F0184"/>
    <w:pPr>
      <w:spacing w:before="120" w:after="0" w:line="240" w:lineRule="auto"/>
      <w:ind w:firstLine="624"/>
    </w:pPr>
    <w:rPr>
      <w:rFonts w:ascii="Times New Roman" w:eastAsia="Times New Roman" w:hAnsi="Times New Roman"/>
      <w:b/>
      <w:color w:val="000000" w:themeColor="text1"/>
      <w:sz w:val="28"/>
      <w:szCs w:val="28"/>
      <w:lang w:val="x-none" w:eastAsia="x-none"/>
    </w:rPr>
  </w:style>
  <w:style w:type="character" w:customStyle="1" w:styleId="Mc11Char">
    <w:name w:val="Mục 1.1 Char"/>
    <w:basedOn w:val="Heading2Char"/>
    <w:link w:val="Mc11"/>
    <w:rsid w:val="009F0184"/>
    <w:rPr>
      <w:rFonts w:ascii="Times New Roman" w:eastAsia="Times New Roman" w:hAnsi="Times New Roman" w:cs="Times New Roman"/>
      <w:b/>
      <w:color w:val="000000" w:themeColor="text1"/>
      <w:sz w:val="28"/>
      <w:szCs w:val="28"/>
      <w:lang w:val="x-none" w:eastAsia="x-none"/>
    </w:rPr>
  </w:style>
  <w:style w:type="paragraph" w:customStyle="1" w:styleId="Footnote">
    <w:name w:val="Footnote"/>
    <w:basedOn w:val="FootnoteText"/>
    <w:link w:val="FootnoteChar"/>
    <w:autoRedefine/>
    <w:qFormat/>
    <w:rsid w:val="00DA020E"/>
    <w:pPr>
      <w:spacing w:before="60" w:after="60"/>
      <w:jc w:val="both"/>
    </w:pPr>
    <w:rPr>
      <w:iCs/>
      <w:color w:val="000000" w:themeColor="text1"/>
      <w:sz w:val="24"/>
      <w:szCs w:val="22"/>
      <w:lang w:val="vi-VN" w:eastAsia="vi-VN"/>
    </w:rPr>
  </w:style>
  <w:style w:type="character" w:customStyle="1" w:styleId="FootnoteChar">
    <w:name w:val="Footnote Char"/>
    <w:basedOn w:val="FootnoteTextChar"/>
    <w:link w:val="Footnote"/>
    <w:rsid w:val="00DA020E"/>
    <w:rPr>
      <w:iCs/>
      <w:color w:val="000000" w:themeColor="text1"/>
      <w:sz w:val="24"/>
      <w:szCs w:val="20"/>
      <w:lang w:val="vi-VN" w:eastAsia="vi-VN"/>
    </w:rPr>
  </w:style>
  <w:style w:type="paragraph" w:styleId="FootnoteText">
    <w:name w:val="footnote text"/>
    <w:aliases w:val="Footnote Text Char Char Char Char Char,Footnote Text Char Char Char Char Char Char Ch,fn,Footnotes,Footnote ak,Footnotes Char Char,Footnotes Char Ch,Geneva 9,Font: Geneva 9,Boston 10,f Char,f,Footnote Text Char1 Char1,FOOTNO,Char9 Char, Ch"/>
    <w:basedOn w:val="Normal"/>
    <w:link w:val="FootnoteTextChar"/>
    <w:uiPriority w:val="99"/>
    <w:unhideWhenUsed/>
    <w:qFormat/>
    <w:rsid w:val="00DA020E"/>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n Char,Footnotes Char,Footnote ak Char,Footnotes Char Char Char,Footnotes Char Ch Char,Geneva 9 Char,Font: Geneva 9 Char,Boston 10 Char"/>
    <w:basedOn w:val="DefaultParagraphFont"/>
    <w:link w:val="FootnoteText"/>
    <w:uiPriority w:val="99"/>
    <w:rsid w:val="00DA020E"/>
    <w:rPr>
      <w:sz w:val="20"/>
      <w:szCs w:val="20"/>
    </w:rPr>
  </w:style>
  <w:style w:type="paragraph" w:customStyle="1" w:styleId="TNTILIU">
    <w:name w:val="TÊN TÀI LIỆU"/>
    <w:basedOn w:val="Normal"/>
    <w:next w:val="Normal"/>
    <w:autoRedefine/>
    <w:qFormat/>
    <w:rsid w:val="006F682C"/>
    <w:pPr>
      <w:spacing w:after="0" w:line="240" w:lineRule="auto"/>
      <w:ind w:firstLine="624"/>
      <w:jc w:val="center"/>
    </w:pPr>
    <w:rPr>
      <w:rFonts w:ascii="Times New Roman H" w:eastAsia="Times New Roman" w:hAnsi="Times New Roman H"/>
      <w:b/>
      <w:bCs/>
      <w:color w:val="000000" w:themeColor="text1"/>
      <w:spacing w:val="4"/>
      <w:sz w:val="28"/>
      <w:szCs w:val="28"/>
      <w:lang w:val="vi-VN" w:eastAsia="x-none"/>
    </w:rPr>
  </w:style>
  <w:style w:type="paragraph" w:styleId="ListParagraph">
    <w:name w:val="List Paragraph"/>
    <w:basedOn w:val="Normal"/>
    <w:uiPriority w:val="34"/>
    <w:qFormat/>
    <w:rsid w:val="00DD77B6"/>
    <w:pPr>
      <w:ind w:left="720"/>
      <w:contextualSpacing/>
    </w:pPr>
  </w:style>
  <w:style w:type="paragraph" w:styleId="BalloonText">
    <w:name w:val="Balloon Text"/>
    <w:basedOn w:val="Normal"/>
    <w:link w:val="BalloonTextChar"/>
    <w:uiPriority w:val="99"/>
    <w:semiHidden/>
    <w:unhideWhenUsed/>
    <w:rsid w:val="004D1E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EA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BC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9F01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F01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F018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11">
    <w:name w:val="Muc 1.1"/>
    <w:basedOn w:val="Heading2"/>
    <w:next w:val="Normal"/>
    <w:link w:val="Muc11Char"/>
    <w:autoRedefine/>
    <w:qFormat/>
    <w:rsid w:val="009F0184"/>
    <w:pPr>
      <w:spacing w:before="120" w:line="240" w:lineRule="auto"/>
    </w:pPr>
    <w:rPr>
      <w:rFonts w:ascii="Times New Roman" w:eastAsia="Times New Roman" w:hAnsi="Times New Roman" w:cs="Times New Roman"/>
      <w:b/>
      <w:bCs/>
      <w:color w:val="000000" w:themeColor="text1"/>
      <w:sz w:val="28"/>
      <w:lang w:val="x-none" w:eastAsia="x-none"/>
    </w:rPr>
  </w:style>
  <w:style w:type="character" w:customStyle="1" w:styleId="Muc11Char">
    <w:name w:val="Muc 1.1 Char"/>
    <w:basedOn w:val="Heading2Char"/>
    <w:link w:val="Muc11"/>
    <w:rsid w:val="009F0184"/>
    <w:rPr>
      <w:rFonts w:ascii="Times New Roman" w:eastAsia="Times New Roman" w:hAnsi="Times New Roman" w:cs="Times New Roman"/>
      <w:b/>
      <w:bCs/>
      <w:color w:val="000000" w:themeColor="text1"/>
      <w:sz w:val="28"/>
      <w:szCs w:val="26"/>
      <w:lang w:val="x-none" w:eastAsia="x-none"/>
    </w:rPr>
  </w:style>
  <w:style w:type="character" w:customStyle="1" w:styleId="Heading2Char">
    <w:name w:val="Heading 2 Char"/>
    <w:basedOn w:val="DefaultParagraphFont"/>
    <w:link w:val="Heading2"/>
    <w:uiPriority w:val="9"/>
    <w:semiHidden/>
    <w:rsid w:val="009F0184"/>
    <w:rPr>
      <w:rFonts w:asciiTheme="majorHAnsi" w:eastAsiaTheme="majorEastAsia" w:hAnsiTheme="majorHAnsi" w:cstheme="majorBidi"/>
      <w:color w:val="2F5496" w:themeColor="accent1" w:themeShade="BF"/>
      <w:sz w:val="26"/>
      <w:szCs w:val="26"/>
    </w:rPr>
  </w:style>
  <w:style w:type="paragraph" w:customStyle="1" w:styleId="McI">
    <w:name w:val="Mục I"/>
    <w:basedOn w:val="Heading1"/>
    <w:next w:val="Normal"/>
    <w:autoRedefine/>
    <w:qFormat/>
    <w:rsid w:val="009F0184"/>
    <w:pPr>
      <w:keepLines w:val="0"/>
      <w:spacing w:line="240" w:lineRule="auto"/>
      <w:ind w:firstLine="624"/>
      <w:jc w:val="both"/>
    </w:pPr>
    <w:rPr>
      <w:rFonts w:ascii="Times New Roman H" w:eastAsia="Times New Roman" w:hAnsi="Times New Roman H" w:cs="Times New Roman"/>
      <w:b/>
      <w:bCs/>
      <w:color w:val="000000" w:themeColor="text1"/>
      <w:spacing w:val="4"/>
      <w:sz w:val="28"/>
      <w:szCs w:val="28"/>
      <w:lang w:val="vi-VN" w:eastAsia="x-none"/>
    </w:rPr>
  </w:style>
  <w:style w:type="character" w:customStyle="1" w:styleId="Heading1Char">
    <w:name w:val="Heading 1 Char"/>
    <w:basedOn w:val="DefaultParagraphFont"/>
    <w:link w:val="Heading1"/>
    <w:uiPriority w:val="9"/>
    <w:rsid w:val="009F0184"/>
    <w:rPr>
      <w:rFonts w:asciiTheme="majorHAnsi" w:eastAsiaTheme="majorEastAsia" w:hAnsiTheme="majorHAnsi" w:cstheme="majorBidi"/>
      <w:color w:val="2F5496" w:themeColor="accent1" w:themeShade="BF"/>
      <w:sz w:val="32"/>
      <w:szCs w:val="32"/>
    </w:rPr>
  </w:style>
  <w:style w:type="paragraph" w:customStyle="1" w:styleId="Nidung">
    <w:name w:val="Nội dung"/>
    <w:basedOn w:val="Normal"/>
    <w:next w:val="Normal"/>
    <w:link w:val="NidungChar"/>
    <w:autoRedefine/>
    <w:qFormat/>
    <w:rsid w:val="009F0184"/>
    <w:pPr>
      <w:spacing w:before="120" w:after="0" w:line="240" w:lineRule="auto"/>
      <w:ind w:firstLine="624"/>
      <w:jc w:val="both"/>
    </w:pPr>
    <w:rPr>
      <w:rFonts w:ascii="Times New Roman" w:eastAsia="Times New Roman" w:hAnsi="Times New Roman" w:cstheme="majorBidi"/>
      <w:iCs/>
      <w:color w:val="000000" w:themeColor="text1"/>
      <w:sz w:val="28"/>
      <w:szCs w:val="30"/>
      <w:lang w:val="pt-BR"/>
    </w:rPr>
  </w:style>
  <w:style w:type="character" w:customStyle="1" w:styleId="Heading3Char">
    <w:name w:val="Heading 3 Char"/>
    <w:basedOn w:val="DefaultParagraphFont"/>
    <w:link w:val="Heading3"/>
    <w:uiPriority w:val="9"/>
    <w:semiHidden/>
    <w:rsid w:val="009F0184"/>
    <w:rPr>
      <w:rFonts w:asciiTheme="majorHAnsi" w:eastAsiaTheme="majorEastAsia" w:hAnsiTheme="majorHAnsi" w:cstheme="majorBidi"/>
      <w:color w:val="1F3763" w:themeColor="accent1" w:themeShade="7F"/>
      <w:sz w:val="24"/>
      <w:szCs w:val="24"/>
    </w:rPr>
  </w:style>
  <w:style w:type="paragraph" w:customStyle="1" w:styleId="Tiumc111">
    <w:name w:val="Tiểu mục (1.1.1)"/>
    <w:basedOn w:val="Normal"/>
    <w:next w:val="Normal"/>
    <w:link w:val="Tiumc111Char"/>
    <w:autoRedefine/>
    <w:qFormat/>
    <w:rsid w:val="009F0184"/>
    <w:pPr>
      <w:spacing w:before="120" w:after="0" w:line="240" w:lineRule="auto"/>
      <w:ind w:left="624"/>
    </w:pPr>
    <w:rPr>
      <w:rFonts w:ascii="Times New Roman" w:eastAsia="Times New Roman" w:hAnsi="Times New Roman"/>
      <w:i/>
      <w:color w:val="000000" w:themeColor="text1"/>
      <w:sz w:val="28"/>
      <w:lang w:val="vi-VN"/>
    </w:rPr>
  </w:style>
  <w:style w:type="character" w:customStyle="1" w:styleId="Tiumc111Char">
    <w:name w:val="Tiểu mục (1.1.1) Char"/>
    <w:basedOn w:val="DefaultParagraphFont"/>
    <w:link w:val="Tiumc111"/>
    <w:rsid w:val="009F0184"/>
    <w:rPr>
      <w:rFonts w:ascii="Times New Roman" w:eastAsia="Times New Roman" w:hAnsi="Times New Roman"/>
      <w:i/>
      <w:color w:val="000000" w:themeColor="text1"/>
      <w:sz w:val="28"/>
      <w:lang w:val="vi-VN"/>
    </w:rPr>
  </w:style>
  <w:style w:type="paragraph" w:customStyle="1" w:styleId="Ditiumc">
    <w:name w:val="Dưới tiểu mục"/>
    <w:basedOn w:val="Normal"/>
    <w:next w:val="Normal"/>
    <w:link w:val="DitiumcChar"/>
    <w:autoRedefine/>
    <w:qFormat/>
    <w:rsid w:val="009F0184"/>
    <w:pPr>
      <w:spacing w:before="120" w:after="0" w:line="240" w:lineRule="auto"/>
      <w:ind w:firstLine="624"/>
      <w:jc w:val="both"/>
    </w:pPr>
    <w:rPr>
      <w:rFonts w:ascii="Times New Roman Italic" w:eastAsia="Times New Roman" w:hAnsi="Times New Roman Italic"/>
      <w:i/>
      <w:color w:val="000000" w:themeColor="text1"/>
      <w:sz w:val="28"/>
    </w:rPr>
  </w:style>
  <w:style w:type="character" w:customStyle="1" w:styleId="DitiumcChar">
    <w:name w:val="Dưới tiểu mục Char"/>
    <w:basedOn w:val="DefaultParagraphFont"/>
    <w:link w:val="Ditiumc"/>
    <w:rsid w:val="009F0184"/>
    <w:rPr>
      <w:rFonts w:ascii="Times New Roman Italic" w:eastAsia="Times New Roman" w:hAnsi="Times New Roman Italic"/>
      <w:i/>
      <w:color w:val="000000" w:themeColor="text1"/>
      <w:sz w:val="28"/>
    </w:rPr>
  </w:style>
  <w:style w:type="character" w:customStyle="1" w:styleId="NidungChar">
    <w:name w:val="Nội dung Char"/>
    <w:basedOn w:val="Heading3Char"/>
    <w:link w:val="Nidung"/>
    <w:rsid w:val="009F0184"/>
    <w:rPr>
      <w:rFonts w:ascii="Times New Roman" w:eastAsia="Times New Roman" w:hAnsi="Times New Roman" w:cstheme="majorBidi"/>
      <w:iCs/>
      <w:color w:val="000000" w:themeColor="text1"/>
      <w:sz w:val="28"/>
      <w:szCs w:val="30"/>
      <w:lang w:val="pt-BR"/>
    </w:rPr>
  </w:style>
  <w:style w:type="paragraph" w:customStyle="1" w:styleId="Mc11">
    <w:name w:val="Mục 1.1"/>
    <w:basedOn w:val="Normal"/>
    <w:next w:val="Normal"/>
    <w:link w:val="Mc11Char"/>
    <w:autoRedefine/>
    <w:qFormat/>
    <w:rsid w:val="009F0184"/>
    <w:pPr>
      <w:spacing w:before="120" w:after="0" w:line="240" w:lineRule="auto"/>
      <w:ind w:firstLine="624"/>
    </w:pPr>
    <w:rPr>
      <w:rFonts w:ascii="Times New Roman" w:eastAsia="Times New Roman" w:hAnsi="Times New Roman"/>
      <w:b/>
      <w:color w:val="000000" w:themeColor="text1"/>
      <w:sz w:val="28"/>
      <w:szCs w:val="28"/>
      <w:lang w:val="x-none" w:eastAsia="x-none"/>
    </w:rPr>
  </w:style>
  <w:style w:type="character" w:customStyle="1" w:styleId="Mc11Char">
    <w:name w:val="Mục 1.1 Char"/>
    <w:basedOn w:val="Heading2Char"/>
    <w:link w:val="Mc11"/>
    <w:rsid w:val="009F0184"/>
    <w:rPr>
      <w:rFonts w:ascii="Times New Roman" w:eastAsia="Times New Roman" w:hAnsi="Times New Roman" w:cs="Times New Roman"/>
      <w:b/>
      <w:color w:val="000000" w:themeColor="text1"/>
      <w:sz w:val="28"/>
      <w:szCs w:val="28"/>
      <w:lang w:val="x-none" w:eastAsia="x-none"/>
    </w:rPr>
  </w:style>
  <w:style w:type="paragraph" w:customStyle="1" w:styleId="Footnote">
    <w:name w:val="Footnote"/>
    <w:basedOn w:val="FootnoteText"/>
    <w:link w:val="FootnoteChar"/>
    <w:autoRedefine/>
    <w:qFormat/>
    <w:rsid w:val="00DA020E"/>
    <w:pPr>
      <w:spacing w:before="60" w:after="60"/>
      <w:jc w:val="both"/>
    </w:pPr>
    <w:rPr>
      <w:iCs/>
      <w:color w:val="000000" w:themeColor="text1"/>
      <w:sz w:val="24"/>
      <w:szCs w:val="22"/>
      <w:lang w:val="vi-VN" w:eastAsia="vi-VN"/>
    </w:rPr>
  </w:style>
  <w:style w:type="character" w:customStyle="1" w:styleId="FootnoteChar">
    <w:name w:val="Footnote Char"/>
    <w:basedOn w:val="FootnoteTextChar"/>
    <w:link w:val="Footnote"/>
    <w:rsid w:val="00DA020E"/>
    <w:rPr>
      <w:iCs/>
      <w:color w:val="000000" w:themeColor="text1"/>
      <w:sz w:val="24"/>
      <w:szCs w:val="20"/>
      <w:lang w:val="vi-VN" w:eastAsia="vi-VN"/>
    </w:rPr>
  </w:style>
  <w:style w:type="paragraph" w:styleId="FootnoteText">
    <w:name w:val="footnote text"/>
    <w:aliases w:val="Footnote Text Char Char Char Char Char,Footnote Text Char Char Char Char Char Char Ch,fn,Footnotes,Footnote ak,Footnotes Char Char,Footnotes Char Ch,Geneva 9,Font: Geneva 9,Boston 10,f Char,f,Footnote Text Char1 Char1,FOOTNO,Char9 Char, Ch"/>
    <w:basedOn w:val="Normal"/>
    <w:link w:val="FootnoteTextChar"/>
    <w:uiPriority w:val="99"/>
    <w:unhideWhenUsed/>
    <w:qFormat/>
    <w:rsid w:val="00DA020E"/>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n Char,Footnotes Char,Footnote ak Char,Footnotes Char Char Char,Footnotes Char Ch Char,Geneva 9 Char,Font: Geneva 9 Char,Boston 10 Char"/>
    <w:basedOn w:val="DefaultParagraphFont"/>
    <w:link w:val="FootnoteText"/>
    <w:uiPriority w:val="99"/>
    <w:rsid w:val="00DA020E"/>
    <w:rPr>
      <w:sz w:val="20"/>
      <w:szCs w:val="20"/>
    </w:rPr>
  </w:style>
  <w:style w:type="paragraph" w:customStyle="1" w:styleId="TNTILIU">
    <w:name w:val="TÊN TÀI LIỆU"/>
    <w:basedOn w:val="Normal"/>
    <w:next w:val="Normal"/>
    <w:autoRedefine/>
    <w:qFormat/>
    <w:rsid w:val="006F682C"/>
    <w:pPr>
      <w:spacing w:after="0" w:line="240" w:lineRule="auto"/>
      <w:ind w:firstLine="624"/>
      <w:jc w:val="center"/>
    </w:pPr>
    <w:rPr>
      <w:rFonts w:ascii="Times New Roman H" w:eastAsia="Times New Roman" w:hAnsi="Times New Roman H"/>
      <w:b/>
      <w:bCs/>
      <w:color w:val="000000" w:themeColor="text1"/>
      <w:spacing w:val="4"/>
      <w:sz w:val="28"/>
      <w:szCs w:val="28"/>
      <w:lang w:val="vi-VN" w:eastAsia="x-none"/>
    </w:rPr>
  </w:style>
  <w:style w:type="paragraph" w:styleId="ListParagraph">
    <w:name w:val="List Paragraph"/>
    <w:basedOn w:val="Normal"/>
    <w:uiPriority w:val="34"/>
    <w:qFormat/>
    <w:rsid w:val="00DD77B6"/>
    <w:pPr>
      <w:ind w:left="720"/>
      <w:contextualSpacing/>
    </w:pPr>
  </w:style>
  <w:style w:type="paragraph" w:styleId="BalloonText">
    <w:name w:val="Balloon Text"/>
    <w:basedOn w:val="Normal"/>
    <w:link w:val="BalloonTextChar"/>
    <w:uiPriority w:val="99"/>
    <w:semiHidden/>
    <w:unhideWhenUsed/>
    <w:rsid w:val="004D1E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EA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 Phung Thi</dc:creator>
  <cp:lastModifiedBy>Phan Thi Thu Ha</cp:lastModifiedBy>
  <cp:revision>2</cp:revision>
  <cp:lastPrinted>2023-02-20T01:46:00Z</cp:lastPrinted>
  <dcterms:created xsi:type="dcterms:W3CDTF">2023-02-20T03:24:00Z</dcterms:created>
  <dcterms:modified xsi:type="dcterms:W3CDTF">2023-02-20T03:24:00Z</dcterms:modified>
</cp:coreProperties>
</file>